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3321E" w14:textId="6C1704C9" w:rsidR="00FC370A" w:rsidRPr="00BA3AC6" w:rsidRDefault="00FC370A" w:rsidP="00266E13">
      <w:pPr>
        <w:widowControl w:val="0"/>
        <w:autoSpaceDE w:val="0"/>
        <w:autoSpaceDN w:val="0"/>
        <w:adjustRightInd w:val="0"/>
        <w:spacing w:after="280"/>
        <w:rPr>
          <w:rFonts w:ascii="Calibri" w:hAnsi="Calibri" w:cs="Calibri"/>
          <w:sz w:val="36"/>
          <w:szCs w:val="36"/>
          <w:lang w:val="es-ES"/>
        </w:rPr>
      </w:pPr>
    </w:p>
    <w:p w14:paraId="4A1F7267" w14:textId="77777777" w:rsidR="00266E13" w:rsidRDefault="00266E13" w:rsidP="00BA3AC6">
      <w:pPr>
        <w:spacing w:line="276" w:lineRule="auto"/>
        <w:rPr>
          <w:rFonts w:ascii="Calibri" w:hAnsi="Calibri" w:cs="Calibri"/>
          <w:sz w:val="28"/>
          <w:szCs w:val="28"/>
          <w:lang w:val="es-ES"/>
        </w:rPr>
      </w:pPr>
    </w:p>
    <w:p w14:paraId="59D611EB" w14:textId="5E8433BD" w:rsidR="00BA3AC6" w:rsidRDefault="00BA3AC6" w:rsidP="00BA3AC6">
      <w:pPr>
        <w:spacing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C. Alicia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Galmich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925E56">
        <w:rPr>
          <w:rFonts w:ascii="Arial" w:hAnsi="Arial" w:cs="Arial"/>
          <w:b/>
          <w:color w:val="000000" w:themeColor="text1"/>
          <w:sz w:val="28"/>
          <w:szCs w:val="28"/>
        </w:rPr>
        <w:t>Gómez</w:t>
      </w:r>
    </w:p>
    <w:p w14:paraId="5CA7C4AE" w14:textId="1AE9D210" w:rsidR="00BA3AC6" w:rsidRDefault="00BA3AC6" w:rsidP="00BA3AC6">
      <w:pPr>
        <w:spacing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P R E S E N T E </w:t>
      </w:r>
    </w:p>
    <w:p w14:paraId="51A605FE" w14:textId="77777777" w:rsidR="007135E0" w:rsidRDefault="007135E0" w:rsidP="00BA3AC6">
      <w:pPr>
        <w:spacing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468DAA7" w14:textId="761AD89D" w:rsidR="002F6406" w:rsidRPr="00BA3AC6" w:rsidRDefault="00854049" w:rsidP="00BA3AC6">
      <w:pPr>
        <w:spacing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BA3AC6">
        <w:rPr>
          <w:rFonts w:ascii="Arial" w:hAnsi="Arial" w:cs="Arial"/>
          <w:b/>
          <w:color w:val="000000" w:themeColor="text1"/>
          <w:sz w:val="28"/>
          <w:szCs w:val="28"/>
        </w:rPr>
        <w:t>En atención a la solicitud de información</w:t>
      </w:r>
      <w:r w:rsidR="00D049BA" w:rsidRP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 con número de folio 0081</w:t>
      </w:r>
      <w:r w:rsidR="00D049BA" w:rsidRPr="00BA3AC6">
        <w:rPr>
          <w:rFonts w:ascii="Arial" w:hAnsi="Arial" w:cs="Arial"/>
          <w:b/>
          <w:sz w:val="28"/>
          <w:szCs w:val="28"/>
        </w:rPr>
        <w:t>7015</w:t>
      </w:r>
      <w:r w:rsidR="00DA430E" w:rsidRPr="00BA3AC6">
        <w:rPr>
          <w:rFonts w:ascii="Arial" w:hAnsi="Arial" w:cs="Arial"/>
          <w:b/>
          <w:color w:val="000000" w:themeColor="text1"/>
          <w:sz w:val="28"/>
          <w:szCs w:val="28"/>
        </w:rPr>
        <w:t>,</w:t>
      </w:r>
      <w:r w:rsidR="00B4797C" w:rsidRP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D049BA" w:rsidRP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con fecha de recepción oficial </w:t>
      </w:r>
      <w:r w:rsidR="00B944D0" w:rsidRP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por nuestra entidad </w:t>
      </w:r>
      <w:r w:rsidR="00BB6CE7" w:rsidRP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el </w:t>
      </w:r>
      <w:r w:rsidR="00BA3AC6" w:rsidRP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día </w:t>
      </w:r>
      <w:r w:rsid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30 de noviembre del 2015 emitida por C. Alicia </w:t>
      </w:r>
      <w:proofErr w:type="spellStart"/>
      <w:r w:rsidR="00BA3AC6">
        <w:rPr>
          <w:rFonts w:ascii="Arial" w:hAnsi="Arial" w:cs="Arial"/>
          <w:b/>
          <w:color w:val="000000" w:themeColor="text1"/>
          <w:sz w:val="28"/>
          <w:szCs w:val="28"/>
        </w:rPr>
        <w:t>Galmich</w:t>
      </w:r>
      <w:proofErr w:type="spellEnd"/>
      <w:r w:rsid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925E56">
        <w:rPr>
          <w:rFonts w:ascii="Arial" w:hAnsi="Arial" w:cs="Arial"/>
          <w:b/>
          <w:color w:val="000000" w:themeColor="text1"/>
          <w:sz w:val="28"/>
          <w:szCs w:val="28"/>
        </w:rPr>
        <w:t>Gómez</w:t>
      </w:r>
      <w:r w:rsidR="00BA3AC6">
        <w:rPr>
          <w:rFonts w:ascii="Arial" w:hAnsi="Arial" w:cs="Arial"/>
          <w:b/>
          <w:color w:val="000000" w:themeColor="text1"/>
          <w:sz w:val="28"/>
          <w:szCs w:val="28"/>
        </w:rPr>
        <w:t>,</w:t>
      </w:r>
      <w:r w:rsidR="00DA430E" w:rsidRP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BA3AC6">
        <w:rPr>
          <w:rFonts w:ascii="Arial" w:hAnsi="Arial" w:cs="Arial"/>
          <w:b/>
          <w:color w:val="000000" w:themeColor="text1"/>
          <w:sz w:val="28"/>
          <w:szCs w:val="28"/>
        </w:rPr>
        <w:t xml:space="preserve">el Clúster Minero – Petrolero de </w:t>
      </w:r>
      <w:r w:rsidR="00DA430E" w:rsidRPr="00BA3AC6">
        <w:rPr>
          <w:rFonts w:ascii="Arial" w:hAnsi="Arial" w:cs="Arial"/>
          <w:b/>
          <w:color w:val="000000" w:themeColor="text1"/>
          <w:sz w:val="28"/>
          <w:szCs w:val="28"/>
        </w:rPr>
        <w:t>Coahuila</w:t>
      </w:r>
      <w:r w:rsidR="00D049BA" w:rsidRPr="00BA3AC6">
        <w:rPr>
          <w:rFonts w:ascii="Arial" w:hAnsi="Arial" w:cs="Arial"/>
          <w:b/>
          <w:color w:val="000000" w:themeColor="text1"/>
          <w:sz w:val="28"/>
          <w:szCs w:val="28"/>
        </w:rPr>
        <w:t>, A.C. informa lo siguiente.</w:t>
      </w:r>
    </w:p>
    <w:p w14:paraId="25992504" w14:textId="77777777" w:rsidR="00DA430E" w:rsidRPr="00B4797C" w:rsidRDefault="00DA430E" w:rsidP="00B4797C">
      <w:pPr>
        <w:spacing w:line="276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F2DD6F4" w14:textId="77777777" w:rsidR="00DA430E" w:rsidRPr="00B4797C" w:rsidRDefault="00DA430E" w:rsidP="00B4797C">
      <w:pPr>
        <w:spacing w:line="276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B4797C">
        <w:rPr>
          <w:rFonts w:ascii="Arial" w:hAnsi="Arial" w:cs="Arial"/>
          <w:color w:val="000000" w:themeColor="text1"/>
          <w:sz w:val="28"/>
          <w:szCs w:val="28"/>
        </w:rPr>
        <w:t>México ocupa el sexto lugar</w:t>
      </w:r>
      <w:r w:rsidR="009C3182" w:rsidRPr="00B4797C">
        <w:rPr>
          <w:rFonts w:ascii="Arial" w:hAnsi="Arial" w:cs="Arial"/>
          <w:color w:val="000000" w:themeColor="text1"/>
          <w:sz w:val="28"/>
          <w:szCs w:val="28"/>
        </w:rPr>
        <w:t xml:space="preserve"> mundial</w:t>
      </w:r>
      <w:r w:rsidRPr="00B4797C">
        <w:rPr>
          <w:rFonts w:ascii="Arial" w:hAnsi="Arial" w:cs="Arial"/>
          <w:color w:val="000000" w:themeColor="text1"/>
          <w:sz w:val="28"/>
          <w:szCs w:val="28"/>
        </w:rPr>
        <w:t xml:space="preserve"> en reservas de hidrocarb</w:t>
      </w:r>
      <w:bookmarkStart w:id="0" w:name="_GoBack"/>
      <w:r w:rsidRPr="00B4797C">
        <w:rPr>
          <w:rFonts w:ascii="Arial" w:hAnsi="Arial" w:cs="Arial"/>
          <w:color w:val="000000" w:themeColor="text1"/>
          <w:sz w:val="28"/>
          <w:szCs w:val="28"/>
        </w:rPr>
        <w:t>u</w:t>
      </w:r>
      <w:bookmarkEnd w:id="0"/>
      <w:r w:rsidRPr="00B4797C">
        <w:rPr>
          <w:rFonts w:ascii="Arial" w:hAnsi="Arial" w:cs="Arial"/>
          <w:color w:val="000000" w:themeColor="text1"/>
          <w:sz w:val="28"/>
          <w:szCs w:val="28"/>
        </w:rPr>
        <w:t xml:space="preserve">ros no convencionales, 545 trillones de pies cúbicos de gas </w:t>
      </w:r>
      <w:proofErr w:type="spellStart"/>
      <w:r w:rsidRPr="00B4797C">
        <w:rPr>
          <w:rFonts w:ascii="Arial" w:hAnsi="Arial" w:cs="Arial"/>
          <w:color w:val="000000" w:themeColor="text1"/>
          <w:sz w:val="28"/>
          <w:szCs w:val="28"/>
        </w:rPr>
        <w:t>shale</w:t>
      </w:r>
      <w:proofErr w:type="spellEnd"/>
      <w:r w:rsidRPr="00B4797C">
        <w:rPr>
          <w:rFonts w:ascii="Arial" w:hAnsi="Arial" w:cs="Arial"/>
          <w:color w:val="000000" w:themeColor="text1"/>
          <w:sz w:val="28"/>
          <w:szCs w:val="28"/>
        </w:rPr>
        <w:t xml:space="preserve">, según la </w:t>
      </w:r>
      <w:proofErr w:type="spellStart"/>
      <w:r w:rsidRPr="00B4797C">
        <w:rPr>
          <w:rFonts w:ascii="Arial" w:hAnsi="Arial" w:cs="Arial"/>
          <w:color w:val="000000" w:themeColor="text1"/>
          <w:sz w:val="28"/>
          <w:szCs w:val="28"/>
        </w:rPr>
        <w:t>Energy</w:t>
      </w:r>
      <w:proofErr w:type="spellEnd"/>
      <w:r w:rsidRPr="00B4797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B4797C">
        <w:rPr>
          <w:rFonts w:ascii="Arial" w:hAnsi="Arial" w:cs="Arial"/>
          <w:color w:val="000000" w:themeColor="text1"/>
          <w:sz w:val="28"/>
          <w:szCs w:val="28"/>
        </w:rPr>
        <w:t>Information</w:t>
      </w:r>
      <w:proofErr w:type="spellEnd"/>
      <w:r w:rsidRPr="00B4797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B4797C">
        <w:rPr>
          <w:rFonts w:ascii="Arial" w:hAnsi="Arial" w:cs="Arial"/>
          <w:color w:val="000000" w:themeColor="text1"/>
          <w:sz w:val="28"/>
          <w:szCs w:val="28"/>
        </w:rPr>
        <w:t>Administration</w:t>
      </w:r>
      <w:proofErr w:type="spellEnd"/>
      <w:r w:rsidRPr="00B4797C">
        <w:rPr>
          <w:rFonts w:ascii="Arial" w:hAnsi="Arial" w:cs="Arial"/>
          <w:color w:val="000000" w:themeColor="text1"/>
          <w:sz w:val="28"/>
          <w:szCs w:val="28"/>
        </w:rPr>
        <w:t>. (EIA).</w:t>
      </w:r>
    </w:p>
    <w:p w14:paraId="1C9C39F1" w14:textId="77777777" w:rsidR="00DA430E" w:rsidRPr="00B4797C" w:rsidRDefault="00DA430E" w:rsidP="00B4797C">
      <w:pPr>
        <w:spacing w:line="276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AED25A0" w14:textId="270D9F7A" w:rsidR="00B4797C" w:rsidRDefault="00BF5019" w:rsidP="00B4797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  <w:r w:rsidRPr="00B4797C">
        <w:rPr>
          <w:rFonts w:ascii="Arial" w:hAnsi="Arial" w:cs="Arial"/>
          <w:color w:val="000000" w:themeColor="text1"/>
          <w:sz w:val="28"/>
          <w:szCs w:val="28"/>
        </w:rPr>
        <w:t>El E</w:t>
      </w:r>
      <w:r w:rsidR="00DA430E" w:rsidRPr="00B4797C">
        <w:rPr>
          <w:rFonts w:ascii="Arial" w:hAnsi="Arial" w:cs="Arial"/>
          <w:color w:val="000000" w:themeColor="text1"/>
          <w:sz w:val="28"/>
          <w:szCs w:val="28"/>
        </w:rPr>
        <w:t xml:space="preserve">stado de Coahuila posee el 24% de las reservas de gas </w:t>
      </w:r>
      <w:proofErr w:type="spellStart"/>
      <w:r w:rsidR="00DA430E" w:rsidRPr="00B4797C">
        <w:rPr>
          <w:rFonts w:ascii="Arial" w:hAnsi="Arial" w:cs="Arial"/>
          <w:color w:val="000000" w:themeColor="text1"/>
          <w:sz w:val="28"/>
          <w:szCs w:val="28"/>
        </w:rPr>
        <w:t>shale</w:t>
      </w:r>
      <w:proofErr w:type="spellEnd"/>
      <w:r w:rsidR="00DA430E" w:rsidRPr="00B4797C">
        <w:rPr>
          <w:rFonts w:ascii="Arial" w:hAnsi="Arial" w:cs="Arial"/>
          <w:color w:val="000000" w:themeColor="text1"/>
          <w:sz w:val="28"/>
          <w:szCs w:val="28"/>
        </w:rPr>
        <w:t xml:space="preserve"> del País de acuerdo a estimaciones de la Comisión </w:t>
      </w:r>
      <w:r w:rsidR="00B4797C" w:rsidRPr="00B4797C">
        <w:rPr>
          <w:rFonts w:ascii="Arial" w:hAnsi="Arial" w:cs="Arial"/>
          <w:color w:val="000000" w:themeColor="text1"/>
          <w:sz w:val="28"/>
          <w:szCs w:val="28"/>
        </w:rPr>
        <w:t>Nacional de Hidrocarburos (CNH),</w:t>
      </w:r>
      <w:r w:rsidR="00DA430E" w:rsidRPr="00B4797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4797C" w:rsidRPr="00B4797C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lo cual convierte al Estado en un polo atractivo para inversiones de empresas involucradas en toda la cadena de valor de la industria de hidrocarburos. </w:t>
      </w:r>
    </w:p>
    <w:p w14:paraId="108029D1" w14:textId="77777777" w:rsidR="003770EA" w:rsidRDefault="003770EA" w:rsidP="00B4797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</w:p>
    <w:p w14:paraId="1FD0F831" w14:textId="6587707E" w:rsidR="003770EA" w:rsidRDefault="003770EA" w:rsidP="00B4797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Tras la Reforma Energética , se le permitió a Pemex elegir campos para explorar y explota</w:t>
      </w:r>
      <w:r w:rsidR="00151276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r hidrocarburos de acuerdo a s</w:t>
      </w:r>
      <w:r w:rsidR="00151276" w:rsidRPr="00BA3AC6">
        <w:rPr>
          <w:rFonts w:ascii="Arial" w:eastAsia="Times New Roman" w:hAnsi="Arial" w:cs="Arial"/>
          <w:sz w:val="28"/>
          <w:szCs w:val="28"/>
        </w:rPr>
        <w:t>u</w:t>
      </w:r>
      <w:r w:rsidR="00151276">
        <w:rPr>
          <w:rFonts w:ascii="Arial" w:eastAsia="Times New Roman" w:hAnsi="Arial" w:cs="Arial"/>
          <w:sz w:val="28"/>
          <w:szCs w:val="28"/>
        </w:rPr>
        <w:t>s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 capacidades técnicas y fi</w:t>
      </w:r>
      <w:r w:rsidR="00151276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nancieras, en el proceso que se denominó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 RONDA CERO.</w:t>
      </w:r>
    </w:p>
    <w:p w14:paraId="370B89C9" w14:textId="77777777" w:rsidR="00BA3AC6" w:rsidRDefault="00BA3AC6" w:rsidP="00B4797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</w:p>
    <w:p w14:paraId="37D57E46" w14:textId="63166006" w:rsidR="00BA3AC6" w:rsidRDefault="00151276" w:rsidP="00BA3AC6">
      <w:pPr>
        <w:spacing w:line="276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De acuerdo a la hoja técnica de la Ronda 0, </w:t>
      </w:r>
      <w:r w:rsidR="00BA3AC6" w:rsidRPr="00BA3AC6">
        <w:rPr>
          <w:rFonts w:ascii="Arial" w:eastAsia="Times New Roman" w:hAnsi="Arial" w:cs="Arial"/>
          <w:sz w:val="28"/>
          <w:szCs w:val="28"/>
        </w:rPr>
        <w:t>Pemex solicitó 34,800 millones de barriles de petróleo crudo equivalente (</w:t>
      </w:r>
      <w:proofErr w:type="spellStart"/>
      <w:r w:rsidR="00BA3AC6" w:rsidRPr="00BA3AC6">
        <w:rPr>
          <w:rFonts w:ascii="Arial" w:eastAsia="Times New Roman" w:hAnsi="Arial" w:cs="Arial"/>
          <w:sz w:val="28"/>
          <w:szCs w:val="28"/>
        </w:rPr>
        <w:t>MMbpce</w:t>
      </w:r>
      <w:proofErr w:type="spellEnd"/>
      <w:r w:rsidR="00BA3AC6" w:rsidRPr="00BA3AC6">
        <w:rPr>
          <w:rFonts w:ascii="Arial" w:eastAsia="Times New Roman" w:hAnsi="Arial" w:cs="Arial"/>
          <w:sz w:val="28"/>
          <w:szCs w:val="28"/>
        </w:rPr>
        <w:t xml:space="preserve">) en recursos prospectivos, lo que representa el 31% del total del país y 20,589 millones de barriles de petróleo crudo equivalente en reservas 2P, es decir, el 83% del total de reservas 2P. </w:t>
      </w:r>
    </w:p>
    <w:p w14:paraId="6177C259" w14:textId="77777777" w:rsidR="00BA3AC6" w:rsidRDefault="00BA3AC6" w:rsidP="00BA3AC6">
      <w:pPr>
        <w:spacing w:line="276" w:lineRule="auto"/>
        <w:rPr>
          <w:rFonts w:ascii="Arial" w:eastAsia="Times New Roman" w:hAnsi="Arial" w:cs="Arial"/>
          <w:sz w:val="28"/>
          <w:szCs w:val="28"/>
        </w:rPr>
      </w:pPr>
    </w:p>
    <w:p w14:paraId="3008E0A2" w14:textId="145A2630" w:rsidR="00BA3AC6" w:rsidRPr="00BA3AC6" w:rsidRDefault="00BA3AC6" w:rsidP="00BA3AC6">
      <w:pPr>
        <w:spacing w:line="276" w:lineRule="auto"/>
        <w:rPr>
          <w:rFonts w:ascii="Arial" w:eastAsia="Times New Roman" w:hAnsi="Arial" w:cs="Arial"/>
          <w:sz w:val="28"/>
          <w:szCs w:val="28"/>
        </w:rPr>
      </w:pPr>
      <w:r w:rsidRPr="00BA3AC6">
        <w:rPr>
          <w:rFonts w:ascii="Arial" w:eastAsia="Times New Roman" w:hAnsi="Arial" w:cs="Arial"/>
          <w:sz w:val="28"/>
          <w:szCs w:val="28"/>
        </w:rPr>
        <w:t>Con la asistencia técnica de la Comisión Nacional de Hidrocarburos, la SENER resolvió otorgar a Pemex las asignaciones para garantizar que cuente con recursos petroleros importantes para mantener un nivel de inversión en exploración, desarrollo y extracción sustentable, pudiendo acceder a nuevas áreas como resultado de las rondas en las que compita</w:t>
      </w:r>
    </w:p>
    <w:p w14:paraId="50B1C49A" w14:textId="77777777" w:rsidR="00BA3AC6" w:rsidRDefault="00BA3AC6" w:rsidP="00B4797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</w:p>
    <w:p w14:paraId="25833023" w14:textId="77777777" w:rsidR="007135E0" w:rsidRDefault="007135E0" w:rsidP="003770EA">
      <w:pPr>
        <w:spacing w:line="276" w:lineRule="auto"/>
        <w:rPr>
          <w:rFonts w:ascii="Arial" w:eastAsia="Times New Roman" w:hAnsi="Arial" w:cs="Arial"/>
          <w:sz w:val="28"/>
          <w:szCs w:val="28"/>
        </w:rPr>
      </w:pPr>
    </w:p>
    <w:p w14:paraId="34DA6C3B" w14:textId="77777777" w:rsidR="007135E0" w:rsidRDefault="007135E0" w:rsidP="003770EA">
      <w:pPr>
        <w:spacing w:line="276" w:lineRule="auto"/>
        <w:rPr>
          <w:rFonts w:ascii="Arial" w:eastAsia="Times New Roman" w:hAnsi="Arial" w:cs="Arial"/>
          <w:sz w:val="28"/>
          <w:szCs w:val="28"/>
        </w:rPr>
      </w:pPr>
    </w:p>
    <w:p w14:paraId="7671BB04" w14:textId="30A2F5C7" w:rsidR="003770EA" w:rsidRPr="003770EA" w:rsidRDefault="003770EA" w:rsidP="003770EA">
      <w:pPr>
        <w:spacing w:line="276" w:lineRule="auto"/>
        <w:rPr>
          <w:rFonts w:ascii="Arial" w:eastAsia="Times New Roman" w:hAnsi="Arial" w:cs="Arial"/>
          <w:sz w:val="28"/>
          <w:szCs w:val="28"/>
        </w:rPr>
      </w:pPr>
      <w:r w:rsidRPr="003770EA">
        <w:rPr>
          <w:rFonts w:ascii="Arial" w:eastAsia="Times New Roman" w:hAnsi="Arial" w:cs="Arial"/>
          <w:sz w:val="28"/>
          <w:szCs w:val="28"/>
        </w:rPr>
        <w:t xml:space="preserve">Pemex se queda con las áreas en exploración y los campos que estén en producción, más atractivos y rentables, manteniendo: o 20,589 </w:t>
      </w:r>
      <w:proofErr w:type="spellStart"/>
      <w:r w:rsidRPr="003770EA">
        <w:rPr>
          <w:rFonts w:ascii="Arial" w:eastAsia="Times New Roman" w:hAnsi="Arial" w:cs="Arial"/>
          <w:sz w:val="28"/>
          <w:szCs w:val="28"/>
        </w:rPr>
        <w:t>MMbpce</w:t>
      </w:r>
      <w:proofErr w:type="spellEnd"/>
      <w:r w:rsidRPr="003770EA">
        <w:rPr>
          <w:rFonts w:ascii="Arial" w:eastAsia="Times New Roman" w:hAnsi="Arial" w:cs="Arial"/>
          <w:sz w:val="28"/>
          <w:szCs w:val="28"/>
        </w:rPr>
        <w:t xml:space="preserve"> en reservas 2P, lo que equivale al 100% del volumen de res</w:t>
      </w:r>
      <w:r w:rsidR="00BA3AC6">
        <w:rPr>
          <w:rFonts w:ascii="Arial" w:eastAsia="Times New Roman" w:hAnsi="Arial" w:cs="Arial"/>
          <w:sz w:val="28"/>
          <w:szCs w:val="28"/>
        </w:rPr>
        <w:t>ervas 2P solicitadas por Pemex.</w:t>
      </w:r>
    </w:p>
    <w:p w14:paraId="6CF26204" w14:textId="77777777" w:rsidR="007135E0" w:rsidRDefault="007135E0" w:rsidP="00B4797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</w:p>
    <w:p w14:paraId="3D37F1DE" w14:textId="1E2862BD" w:rsidR="00B4797C" w:rsidRDefault="00B4797C" w:rsidP="00B4797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  <w:r w:rsidRPr="00B4797C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En la Ronda Uno</w:t>
      </w:r>
      <w:r w:rsidR="003770EA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 (para inversión privada)  se ofertan</w:t>
      </w:r>
      <w:r w:rsidRPr="00B4797C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 169 bloques, de los cuales, 109 corresponden a proyectos de exploración y 60 a proyectos de extracción. De este total, 91% corresponde a áreas de exploración y el restante 9% a campos en extracción.</w:t>
      </w:r>
      <w:r w:rsidR="0088140D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 </w:t>
      </w:r>
    </w:p>
    <w:p w14:paraId="22C87A28" w14:textId="77777777" w:rsidR="00FF360A" w:rsidRDefault="00FF360A" w:rsidP="00B4797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</w:p>
    <w:p w14:paraId="2646B442" w14:textId="478D75B8" w:rsidR="00B4797C" w:rsidRPr="00B4797C" w:rsidRDefault="00FF360A" w:rsidP="00B4797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De acuerdo con el plan quinquenal de la Secretaria de Energía, publicado en el Diario Oficial de la Federación</w:t>
      </w:r>
      <w:r w:rsidR="00A45747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 y también en la pagina web de la propia SENER,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e</w:t>
      </w:r>
      <w:r w:rsidR="00B4797C" w:rsidRPr="00B4797C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n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el Estado de </w:t>
      </w:r>
      <w:r w:rsidR="00B4797C" w:rsidRPr="00B4797C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Coahuila se licitarán 8 bloques, cada uno con una superficie aproximada de</w:t>
      </w:r>
      <w:r w:rsidR="00925E56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 </w:t>
      </w:r>
      <w:r w:rsidR="00B4797C" w:rsidRPr="00B4797C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112 km</w:t>
      </w:r>
      <w:r w:rsidR="00B4797C" w:rsidRPr="00B4797C">
        <w:rPr>
          <w:rFonts w:ascii="Arial" w:eastAsia="Times New Roman" w:hAnsi="Arial" w:cs="Arial"/>
          <w:color w:val="000000" w:themeColor="text1"/>
          <w:sz w:val="28"/>
          <w:szCs w:val="28"/>
          <w:vertAlign w:val="superscript"/>
          <w:lang w:eastAsia="es-MX"/>
        </w:rPr>
        <w:t xml:space="preserve">2   </w:t>
      </w:r>
      <w:r w:rsidR="00B4797C" w:rsidRPr="00B4797C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en el municipio de Jiménez. </w:t>
      </w:r>
      <w:r w:rsidR="0088140D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 xml:space="preserve">Se estima que esta licitación aparezca a finales del año 2016. </w:t>
      </w:r>
      <w:r w:rsidR="00B4797C" w:rsidRPr="00B4797C"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La licitación buscará otorgar dichos bloques para que empresas privadas realicen actividades de exploración y extracción de hidrocarburos no convencionales.</w:t>
      </w:r>
    </w:p>
    <w:p w14:paraId="20CE9EBE" w14:textId="77777777" w:rsidR="00BA3AC6" w:rsidRDefault="00BA3AC6" w:rsidP="00726D07">
      <w:pPr>
        <w:spacing w:line="276" w:lineRule="auto"/>
        <w:rPr>
          <w:rFonts w:ascii="Arial" w:hAnsi="Arial" w:cs="Arial"/>
          <w:sz w:val="28"/>
          <w:szCs w:val="28"/>
        </w:rPr>
      </w:pPr>
    </w:p>
    <w:p w14:paraId="7EDEA5D0" w14:textId="19C05B15" w:rsidR="003770EA" w:rsidRDefault="003770EA" w:rsidP="00726D07">
      <w:p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s-MX"/>
        </w:rPr>
        <w:t>En el 2014 Pemex realizo estudios de exploración sísmica en las áreas comprendidas de los municipios de Guerrero, Nava y villa unión.</w:t>
      </w:r>
    </w:p>
    <w:p w14:paraId="1F7655A5" w14:textId="77777777" w:rsidR="003770EA" w:rsidRPr="00B4797C" w:rsidRDefault="003770EA" w:rsidP="007C3B01">
      <w:pPr>
        <w:rPr>
          <w:rFonts w:ascii="Arial" w:hAnsi="Arial" w:cs="Arial"/>
          <w:sz w:val="28"/>
          <w:szCs w:val="28"/>
        </w:rPr>
      </w:pPr>
    </w:p>
    <w:p w14:paraId="2D5EDD18" w14:textId="77777777" w:rsidR="00DA430E" w:rsidRPr="00B4797C" w:rsidRDefault="00DA430E" w:rsidP="007C3B01">
      <w:pPr>
        <w:rPr>
          <w:rFonts w:ascii="Arial" w:hAnsi="Arial" w:cs="Arial"/>
          <w:sz w:val="28"/>
          <w:szCs w:val="28"/>
        </w:rPr>
      </w:pPr>
    </w:p>
    <w:p w14:paraId="2B54A814" w14:textId="67407F4D" w:rsidR="00DA430E" w:rsidRDefault="00B4797C" w:rsidP="007C3B01">
      <w:pPr>
        <w:rPr>
          <w:rFonts w:ascii="Arial" w:hAnsi="Arial" w:cs="Arial"/>
          <w:sz w:val="28"/>
          <w:szCs w:val="28"/>
        </w:rPr>
      </w:pPr>
      <w:r w:rsidRPr="00B004E9">
        <w:rPr>
          <w:rFonts w:ascii="Arial" w:eastAsia="Times New Roman" w:hAnsi="Arial" w:cs="Arial"/>
          <w:noProof/>
          <w:color w:val="000000"/>
          <w:lang w:val="es-ES"/>
        </w:rPr>
        <w:drawing>
          <wp:inline distT="0" distB="0" distL="0" distR="0" wp14:anchorId="30609ECA" wp14:editId="7B57D1C7">
            <wp:extent cx="5258435" cy="263398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74" cy="266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BA73" w14:textId="77777777" w:rsidR="00F25ED3" w:rsidRDefault="00F25ED3" w:rsidP="007C3B01">
      <w:pPr>
        <w:rPr>
          <w:rFonts w:ascii="Arial" w:hAnsi="Arial" w:cs="Arial"/>
          <w:sz w:val="28"/>
          <w:szCs w:val="28"/>
        </w:rPr>
      </w:pPr>
    </w:p>
    <w:p w14:paraId="5F208D17" w14:textId="77777777" w:rsidR="00F25ED3" w:rsidRPr="00DA430E" w:rsidRDefault="00F25ED3" w:rsidP="007C3B01">
      <w:pPr>
        <w:rPr>
          <w:rFonts w:ascii="Arial" w:hAnsi="Arial" w:cs="Arial"/>
          <w:sz w:val="28"/>
          <w:szCs w:val="28"/>
        </w:rPr>
      </w:pPr>
    </w:p>
    <w:p w14:paraId="18E9FA0A" w14:textId="77777777" w:rsidR="00A45747" w:rsidRDefault="00A45747" w:rsidP="00726D07">
      <w:pPr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14:paraId="3374BC1A" w14:textId="77777777" w:rsidR="00266E13" w:rsidRDefault="00266E13" w:rsidP="00A45747">
      <w:pPr>
        <w:rPr>
          <w:rFonts w:ascii="Arial" w:hAnsi="Arial" w:cs="Arial"/>
          <w:sz w:val="28"/>
          <w:szCs w:val="28"/>
          <w:lang w:val="es-ES"/>
        </w:rPr>
      </w:pPr>
    </w:p>
    <w:p w14:paraId="448D71BE" w14:textId="213FE681" w:rsidR="00A45747" w:rsidRDefault="00A45747" w:rsidP="00A45747">
      <w:pPr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lang w:val="es-ES"/>
        </w:rPr>
        <w:t>La imagen anterior presenta los ocho bloques</w:t>
      </w:r>
      <w:r w:rsidRPr="00A45747">
        <w:rPr>
          <w:rFonts w:ascii="Arial" w:hAnsi="Arial" w:cs="Arial"/>
          <w:sz w:val="28"/>
          <w:szCs w:val="28"/>
          <w:lang w:val="es-ES"/>
        </w:rPr>
        <w:t xml:space="preserve"> </w:t>
      </w:r>
      <w:r w:rsidRPr="00A45747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ubicados en el Municipio de Jiménez. Fuente CNH</w:t>
      </w:r>
      <w:r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.</w:t>
      </w:r>
    </w:p>
    <w:p w14:paraId="17B54C61" w14:textId="77777777" w:rsidR="00A45747" w:rsidRDefault="00A45747" w:rsidP="00A45747">
      <w:pPr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</w:pPr>
    </w:p>
    <w:p w14:paraId="2B7A9E5C" w14:textId="77777777" w:rsidR="00A45747" w:rsidRPr="00A45747" w:rsidRDefault="00A45747" w:rsidP="00A45747">
      <w:pPr>
        <w:rPr>
          <w:rFonts w:ascii="Times" w:eastAsia="Times New Roman" w:hAnsi="Times" w:cs="Times New Roman"/>
          <w:sz w:val="20"/>
          <w:szCs w:val="20"/>
        </w:rPr>
      </w:pPr>
    </w:p>
    <w:p w14:paraId="133FE12B" w14:textId="120972AE" w:rsidR="0088140D" w:rsidRPr="004279EE" w:rsidRDefault="00726D07" w:rsidP="004279EE">
      <w:pPr>
        <w:spacing w:line="276" w:lineRule="auto"/>
        <w:rPr>
          <w:rFonts w:ascii="Arial" w:hAnsi="Arial" w:cs="Arial"/>
          <w:b/>
          <w:sz w:val="28"/>
          <w:szCs w:val="28"/>
          <w:lang w:val="es-ES"/>
        </w:rPr>
      </w:pPr>
      <w:r w:rsidRPr="004279EE">
        <w:rPr>
          <w:rFonts w:ascii="Arial" w:hAnsi="Arial" w:cs="Arial"/>
          <w:b/>
          <w:sz w:val="28"/>
          <w:szCs w:val="28"/>
          <w:lang w:val="es-ES"/>
        </w:rPr>
        <w:t>Las adjudicaciones</w:t>
      </w:r>
      <w:r w:rsidR="0088140D" w:rsidRPr="004279EE">
        <w:rPr>
          <w:rFonts w:ascii="Arial" w:hAnsi="Arial" w:cs="Arial"/>
          <w:b/>
          <w:sz w:val="28"/>
          <w:szCs w:val="28"/>
          <w:lang w:val="es-ES"/>
        </w:rPr>
        <w:t xml:space="preserve"> para explorar, extraer y explotar el gas </w:t>
      </w:r>
      <w:proofErr w:type="spellStart"/>
      <w:r w:rsidR="0088140D" w:rsidRPr="004279EE">
        <w:rPr>
          <w:rFonts w:ascii="Arial" w:hAnsi="Arial" w:cs="Arial"/>
          <w:b/>
          <w:sz w:val="28"/>
          <w:szCs w:val="28"/>
          <w:lang w:val="es-ES"/>
        </w:rPr>
        <w:t>shale</w:t>
      </w:r>
      <w:proofErr w:type="spellEnd"/>
      <w:r w:rsidR="0088140D" w:rsidRPr="004279EE">
        <w:rPr>
          <w:rFonts w:ascii="Arial" w:hAnsi="Arial" w:cs="Arial"/>
          <w:b/>
          <w:sz w:val="28"/>
          <w:szCs w:val="28"/>
          <w:lang w:val="es-ES"/>
        </w:rPr>
        <w:t>, será</w:t>
      </w:r>
      <w:r w:rsidR="00544CBE" w:rsidRPr="004279EE">
        <w:rPr>
          <w:rFonts w:ascii="Arial" w:hAnsi="Arial" w:cs="Arial"/>
          <w:b/>
          <w:sz w:val="28"/>
          <w:szCs w:val="28"/>
          <w:lang w:val="es-ES"/>
        </w:rPr>
        <w:t>n asignaciones</w:t>
      </w:r>
      <w:r w:rsidR="0088140D" w:rsidRPr="004279EE">
        <w:rPr>
          <w:rFonts w:ascii="Arial" w:hAnsi="Arial" w:cs="Arial"/>
          <w:b/>
          <w:sz w:val="28"/>
          <w:szCs w:val="28"/>
          <w:lang w:val="es-ES"/>
        </w:rPr>
        <w:t xml:space="preserve"> por licitación pública, a través de las </w:t>
      </w:r>
      <w:r w:rsidR="00544CBE" w:rsidRPr="004279EE">
        <w:rPr>
          <w:rFonts w:ascii="Arial" w:hAnsi="Arial" w:cs="Arial"/>
          <w:b/>
          <w:sz w:val="28"/>
          <w:szCs w:val="28"/>
          <w:lang w:val="es-ES"/>
        </w:rPr>
        <w:t xml:space="preserve">diferentes </w:t>
      </w:r>
      <w:r w:rsidR="0088140D" w:rsidRPr="004279EE">
        <w:rPr>
          <w:rFonts w:ascii="Arial" w:hAnsi="Arial" w:cs="Arial"/>
          <w:b/>
          <w:sz w:val="28"/>
          <w:szCs w:val="28"/>
          <w:lang w:val="es-ES"/>
        </w:rPr>
        <w:t>fases de la R</w:t>
      </w:r>
      <w:r w:rsidR="00544CBE" w:rsidRPr="004279EE">
        <w:rPr>
          <w:rFonts w:ascii="Arial" w:hAnsi="Arial" w:cs="Arial"/>
          <w:b/>
          <w:sz w:val="28"/>
          <w:szCs w:val="28"/>
          <w:lang w:val="es-ES"/>
        </w:rPr>
        <w:t>onda 1 que administran</w:t>
      </w:r>
      <w:r w:rsidRPr="004279EE">
        <w:rPr>
          <w:rFonts w:ascii="Arial" w:hAnsi="Arial" w:cs="Arial"/>
          <w:b/>
          <w:sz w:val="28"/>
          <w:szCs w:val="28"/>
          <w:lang w:val="es-ES"/>
        </w:rPr>
        <w:t xml:space="preserve"> la CNH Y SENER, las cuales son grabadas y transmitidas en vivo a través de medios electrónicos.</w:t>
      </w:r>
    </w:p>
    <w:p w14:paraId="1A19EB71" w14:textId="77777777" w:rsidR="00A45747" w:rsidRDefault="00A45747" w:rsidP="00726D07">
      <w:pPr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14:paraId="53A0A8FF" w14:textId="7A85B1D6" w:rsidR="00A45747" w:rsidRDefault="007F2D23" w:rsidP="00726D07">
      <w:pPr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Los estudios ambientales, fueron realizados por el Instituto Mexicano del Petróleo por solicitud de PEMEX, entre ellos se encentran las manifestaciones de impacto ambiental (MIA) y los estudios de Riesgo Ambiental, los cales pueden ser solicitados a la SEMARNAT y/o a PEMEX.</w:t>
      </w:r>
    </w:p>
    <w:p w14:paraId="6A77D3E9" w14:textId="77777777" w:rsidR="004279EE" w:rsidRDefault="004279EE" w:rsidP="007F2D23">
      <w:pPr>
        <w:rPr>
          <w:rFonts w:ascii="Arial" w:hAnsi="Arial" w:cs="Arial"/>
          <w:sz w:val="28"/>
          <w:szCs w:val="28"/>
          <w:lang w:val="es-ES"/>
        </w:rPr>
      </w:pPr>
    </w:p>
    <w:p w14:paraId="4C1AFE1A" w14:textId="2A07F58B" w:rsidR="007F2D23" w:rsidRDefault="007F2D23" w:rsidP="007F2D23">
      <w:pPr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lang w:val="es-ES"/>
        </w:rPr>
        <w:t>El C</w:t>
      </w:r>
      <w:r w:rsidR="00266E13">
        <w:rPr>
          <w:rFonts w:ascii="Arial" w:hAnsi="Arial" w:cs="Arial"/>
          <w:sz w:val="28"/>
          <w:szCs w:val="28"/>
          <w:lang w:val="es-ES"/>
        </w:rPr>
        <w:t>l</w:t>
      </w:r>
      <w:proofErr w:type="spellStart"/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uster</w:t>
      </w:r>
      <w:proofErr w:type="spellEnd"/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 xml:space="preserve"> de Coahuila tiene como proyecto en planeación y proceso la elaboración de una línea base ambiental en la zona de influencia de proyectos de gas </w:t>
      </w:r>
      <w:proofErr w:type="spellStart"/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shale</w:t>
      </w:r>
      <w:proofErr w:type="spellEnd"/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 xml:space="preserve"> en el Estado, en colaboración con la Secretaria de Medio Ambiente del Estado, (SEMA) y la Comisión Nacional del Agua (</w:t>
      </w:r>
      <w:proofErr w:type="spellStart"/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Conagua</w:t>
      </w:r>
      <w:proofErr w:type="spellEnd"/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).</w:t>
      </w:r>
      <w:r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14:paraId="43D1A733" w14:textId="77777777" w:rsidR="007F2D23" w:rsidRDefault="007F2D23" w:rsidP="007F2D23">
      <w:pPr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</w:pPr>
    </w:p>
    <w:p w14:paraId="1A7BAB9A" w14:textId="2C3E75AF" w:rsidR="007F2D23" w:rsidRPr="007F2D23" w:rsidRDefault="007F2D23" w:rsidP="007F2D23">
      <w:pPr>
        <w:rPr>
          <w:rFonts w:eastAsia="Times New Roman" w:cs="Times New Roman"/>
          <w:sz w:val="28"/>
          <w:szCs w:val="28"/>
        </w:rPr>
      </w:pPr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Se anexa y se le enviará por correo electrónico un</w:t>
      </w:r>
      <w:r w:rsidRPr="007F2D23">
        <w:rPr>
          <w:rFonts w:eastAsia="Times New Roman" w:cs="Times New Roman"/>
          <w:sz w:val="28"/>
          <w:szCs w:val="28"/>
        </w:rPr>
        <w:t xml:space="preserve"> </w:t>
      </w:r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 xml:space="preserve">documento en donde </w:t>
      </w:r>
      <w:r w:rsidR="004279EE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el IMP y PEMEX</w:t>
      </w:r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 xml:space="preserve"> exponen estrategias para minimizar y controlar los impactos ambientales en áreas de explotación de gas </w:t>
      </w:r>
      <w:proofErr w:type="spellStart"/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shale</w:t>
      </w:r>
      <w:proofErr w:type="spellEnd"/>
      <w:r w:rsidRPr="007F2D23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.</w:t>
      </w:r>
    </w:p>
    <w:p w14:paraId="062E41FC" w14:textId="7F8581B3" w:rsidR="007F2D23" w:rsidRDefault="007F2D23" w:rsidP="007F2D23">
      <w:pPr>
        <w:rPr>
          <w:rFonts w:ascii="Times" w:eastAsia="Times New Roman" w:hAnsi="Times" w:cs="Times New Roman"/>
          <w:sz w:val="20"/>
          <w:szCs w:val="20"/>
        </w:rPr>
      </w:pPr>
    </w:p>
    <w:p w14:paraId="73358640" w14:textId="23AACC99" w:rsidR="004279EE" w:rsidRDefault="004279EE" w:rsidP="007F2D23">
      <w:pPr>
        <w:rPr>
          <w:rFonts w:ascii="Arial" w:eastAsia="Times New Roman" w:hAnsi="Arial" w:cs="Arial"/>
          <w:sz w:val="28"/>
          <w:szCs w:val="28"/>
        </w:rPr>
      </w:pPr>
      <w:r w:rsidRPr="004279EE">
        <w:rPr>
          <w:rFonts w:ascii="Arial" w:eastAsia="Times New Roman" w:hAnsi="Arial" w:cs="Arial"/>
          <w:sz w:val="28"/>
          <w:szCs w:val="28"/>
        </w:rPr>
        <w:t>También se le enviarán boletines informativos que elabora el Comité de Medio Ambiente del Clúster, con información relacionada al tema, y si es de s</w:t>
      </w:r>
      <w:r w:rsidRPr="004279EE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u</w:t>
      </w:r>
      <w:r w:rsidRPr="004279EE">
        <w:rPr>
          <w:rFonts w:ascii="Arial" w:eastAsia="Times New Roman" w:hAnsi="Arial" w:cs="Arial"/>
          <w:sz w:val="28"/>
          <w:szCs w:val="28"/>
        </w:rPr>
        <w:t xml:space="preserve"> interés podríamos agregarla a la lista de contactos para distribución de dichos boletines.  </w:t>
      </w:r>
    </w:p>
    <w:p w14:paraId="55979D20" w14:textId="77777777" w:rsidR="00AB0894" w:rsidRDefault="00AB0894" w:rsidP="007F2D23">
      <w:pPr>
        <w:rPr>
          <w:rFonts w:ascii="Arial" w:eastAsia="Times New Roman" w:hAnsi="Arial" w:cs="Arial"/>
          <w:sz w:val="28"/>
          <w:szCs w:val="28"/>
        </w:rPr>
      </w:pPr>
    </w:p>
    <w:p w14:paraId="4D2F7112" w14:textId="0D1BE9A6" w:rsidR="00AB0894" w:rsidRDefault="00AB0894" w:rsidP="007F2D23">
      <w:pPr>
        <w:rPr>
          <w:rFonts w:ascii="Arial" w:eastAsia="Times New Roman" w:hAnsi="Arial" w:cs="Arial"/>
          <w:sz w:val="28"/>
          <w:szCs w:val="28"/>
        </w:rPr>
      </w:pPr>
      <w:r w:rsidRPr="00AB0894">
        <w:rPr>
          <w:rFonts w:ascii="Arial" w:eastAsia="Times New Roman" w:hAnsi="Arial" w:cs="Arial"/>
          <w:b/>
          <w:sz w:val="28"/>
          <w:szCs w:val="28"/>
        </w:rPr>
        <w:t>Para el caso de las empresas contratistas o asignatarias a quienes se les adjudiquen campos para exploración y extracción de hidrocarburos deberán sujetarse a lo establecido en el artículo 121 de la Ley de Hidrocarburos</w:t>
      </w:r>
      <w:r>
        <w:rPr>
          <w:rFonts w:ascii="Arial" w:eastAsia="Times New Roman" w:hAnsi="Arial" w:cs="Arial"/>
          <w:sz w:val="28"/>
          <w:szCs w:val="28"/>
        </w:rPr>
        <w:t xml:space="preserve"> que señala que los interesados en obtener n permiso para desarrollar proyectos deberán presentar una evaluación de impacto social, que contenga la identificación, caracterización, predicción y valoración de los impactos sociales que podrían derivarse de s s actividades, así como las medidas de mitigación correspondientes. </w:t>
      </w:r>
    </w:p>
    <w:p w14:paraId="3074D60C" w14:textId="77777777" w:rsidR="00AB0894" w:rsidRDefault="00AB0894" w:rsidP="007F2D23">
      <w:pPr>
        <w:rPr>
          <w:rFonts w:ascii="Arial" w:eastAsia="Times New Roman" w:hAnsi="Arial" w:cs="Arial"/>
          <w:sz w:val="28"/>
          <w:szCs w:val="28"/>
        </w:rPr>
      </w:pPr>
    </w:p>
    <w:p w14:paraId="02DF3470" w14:textId="77777777" w:rsidR="00A81B48" w:rsidRDefault="00A81B48" w:rsidP="007F2D23">
      <w:pPr>
        <w:rPr>
          <w:rFonts w:ascii="Arial" w:eastAsia="Times New Roman" w:hAnsi="Arial" w:cs="Arial"/>
          <w:sz w:val="28"/>
          <w:szCs w:val="28"/>
        </w:rPr>
      </w:pPr>
    </w:p>
    <w:p w14:paraId="47EB69D4" w14:textId="77777777" w:rsidR="00A81B48" w:rsidRDefault="00A81B48" w:rsidP="007F2D23">
      <w:pPr>
        <w:rPr>
          <w:rFonts w:ascii="Arial" w:eastAsia="Times New Roman" w:hAnsi="Arial" w:cs="Arial"/>
          <w:sz w:val="28"/>
          <w:szCs w:val="28"/>
        </w:rPr>
      </w:pPr>
    </w:p>
    <w:p w14:paraId="3473C89D" w14:textId="1775C9FD" w:rsidR="00AB0894" w:rsidRDefault="00AB0894" w:rsidP="007F2D23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La Secretaria de Energía emitirá una resolución y las recomendaciones correspondientes a fin de que a partir de esta resolución se pueda tramitar la autorización de impacto ambiental.</w:t>
      </w:r>
    </w:p>
    <w:p w14:paraId="2AA07E57" w14:textId="77777777" w:rsidR="00EA51A0" w:rsidRDefault="00EA51A0" w:rsidP="007F2D23">
      <w:pPr>
        <w:rPr>
          <w:rFonts w:ascii="Arial" w:eastAsia="Times New Roman" w:hAnsi="Arial" w:cs="Arial"/>
          <w:sz w:val="28"/>
          <w:szCs w:val="28"/>
        </w:rPr>
      </w:pPr>
    </w:p>
    <w:p w14:paraId="02A18FFF" w14:textId="048109D6" w:rsidR="00EA51A0" w:rsidRDefault="00EA51A0" w:rsidP="00EA51A0">
      <w:pPr>
        <w:rPr>
          <w:rFonts w:ascii="Arial" w:eastAsia="Times New Roman" w:hAnsi="Arial" w:cs="Arial"/>
          <w:color w:val="545454"/>
          <w:shd w:val="clear" w:color="auto" w:fill="FFFFFF"/>
        </w:rPr>
      </w:pPr>
      <w:r>
        <w:rPr>
          <w:rFonts w:ascii="Arial" w:eastAsia="Times New Roman" w:hAnsi="Arial" w:cs="Arial"/>
          <w:sz w:val="28"/>
          <w:szCs w:val="28"/>
        </w:rPr>
        <w:t xml:space="preserve">A </w:t>
      </w:r>
      <w:r w:rsidRPr="00EA51A0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partir de la Reforma Energética, se creó en Agosto del 2014 </w:t>
      </w:r>
      <w:r w:rsidRPr="00EA51A0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la Agencia Nacional de Seguridad Industrial y de Protección al Medio Ambiente del Sector Hidrocarburos (ASEA)</w:t>
      </w:r>
      <w:r w:rsidR="00A81B48">
        <w:rPr>
          <w:rFonts w:ascii="Arial" w:eastAsia="Times New Roman" w:hAnsi="Arial" w:cs="Arial"/>
          <w:color w:val="545454"/>
          <w:shd w:val="clear" w:color="auto" w:fill="FFFFFF"/>
        </w:rPr>
        <w:t>.</w:t>
      </w:r>
    </w:p>
    <w:p w14:paraId="47618D93" w14:textId="77777777" w:rsidR="00A81B48" w:rsidRDefault="00A81B48" w:rsidP="00EA51A0">
      <w:pPr>
        <w:rPr>
          <w:rFonts w:ascii="Arial" w:eastAsia="Times New Roman" w:hAnsi="Arial" w:cs="Arial"/>
          <w:color w:val="545454"/>
          <w:shd w:val="clear" w:color="auto" w:fill="FFFFFF"/>
        </w:rPr>
      </w:pPr>
    </w:p>
    <w:p w14:paraId="65630A84" w14:textId="77777777" w:rsidR="00A81B48" w:rsidRPr="00EA51A0" w:rsidRDefault="00A81B48" w:rsidP="00EA51A0">
      <w:pPr>
        <w:rPr>
          <w:rFonts w:ascii="Times" w:eastAsia="Times New Roman" w:hAnsi="Times" w:cs="Times New Roman"/>
          <w:sz w:val="20"/>
          <w:szCs w:val="20"/>
        </w:rPr>
      </w:pPr>
    </w:p>
    <w:p w14:paraId="0D849C74" w14:textId="77777777" w:rsidR="00A81B48" w:rsidRPr="00A81B48" w:rsidRDefault="00A81B48" w:rsidP="00A81B48">
      <w:pPr>
        <w:shd w:val="clear" w:color="auto" w:fill="FDFDFD"/>
        <w:spacing w:after="225" w:line="326" w:lineRule="atLeast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A81B48">
        <w:rPr>
          <w:rFonts w:ascii="Arial" w:hAnsi="Arial" w:cs="Arial"/>
          <w:color w:val="000000" w:themeColor="text1"/>
          <w:sz w:val="28"/>
          <w:szCs w:val="28"/>
        </w:rPr>
        <w:t xml:space="preserve">La Agencia tiene como objeto regular y supervisar en materia de seguridad industrial, operativa y de protección del medio ambiente, las instalaciones y actividades del sector hidrocarburos, incluyendo las actividades de </w:t>
      </w:r>
      <w:proofErr w:type="spellStart"/>
      <w:r w:rsidRPr="00A81B48">
        <w:rPr>
          <w:rFonts w:ascii="Arial" w:hAnsi="Arial" w:cs="Arial"/>
          <w:color w:val="000000" w:themeColor="text1"/>
          <w:sz w:val="28"/>
          <w:szCs w:val="28"/>
        </w:rPr>
        <w:t>desamantelamiento</w:t>
      </w:r>
      <w:proofErr w:type="spellEnd"/>
      <w:r w:rsidRPr="00A81B48">
        <w:rPr>
          <w:rFonts w:ascii="Arial" w:hAnsi="Arial" w:cs="Arial"/>
          <w:color w:val="000000" w:themeColor="text1"/>
          <w:sz w:val="28"/>
          <w:szCs w:val="28"/>
        </w:rPr>
        <w:t xml:space="preserve"> y abandono de instalaciones, así como el control de residuos.</w:t>
      </w:r>
    </w:p>
    <w:p w14:paraId="3372D77F" w14:textId="77777777" w:rsidR="00A81B48" w:rsidRPr="00A81B48" w:rsidRDefault="00A81B48" w:rsidP="00A81B48">
      <w:pPr>
        <w:shd w:val="clear" w:color="auto" w:fill="FDFDFD"/>
        <w:spacing w:after="225" w:line="326" w:lineRule="atLeast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A81B48">
        <w:rPr>
          <w:rFonts w:ascii="Arial" w:hAnsi="Arial" w:cs="Arial"/>
          <w:color w:val="000000" w:themeColor="text1"/>
          <w:sz w:val="28"/>
          <w:szCs w:val="28"/>
        </w:rPr>
        <w:t>Las funciones de la Agencia inciden en el diseño, la regulación y la supervisión de:</w:t>
      </w:r>
    </w:p>
    <w:p w14:paraId="57C1F64E" w14:textId="77777777" w:rsidR="00A81B48" w:rsidRPr="00A81B48" w:rsidRDefault="00A81B48" w:rsidP="00A81B48">
      <w:pPr>
        <w:spacing w:line="326" w:lineRule="atLeast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A81B48">
        <w:rPr>
          <w:rFonts w:ascii="Arial" w:eastAsia="Times New Roman" w:hAnsi="Arial" w:cs="Arial"/>
          <w:color w:val="000000" w:themeColor="text1"/>
          <w:sz w:val="28"/>
          <w:szCs w:val="28"/>
        </w:rPr>
        <w:t>•  La seguridad industrial y la seguridad operativa</w:t>
      </w:r>
    </w:p>
    <w:p w14:paraId="47130001" w14:textId="77777777" w:rsidR="00A81B48" w:rsidRPr="00A81B48" w:rsidRDefault="00A81B48" w:rsidP="00A81B48">
      <w:pPr>
        <w:spacing w:line="326" w:lineRule="atLeast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A81B48">
        <w:rPr>
          <w:rFonts w:ascii="Arial" w:eastAsia="Times New Roman" w:hAnsi="Arial" w:cs="Arial"/>
          <w:color w:val="000000" w:themeColor="text1"/>
          <w:sz w:val="28"/>
          <w:szCs w:val="28"/>
        </w:rPr>
        <w:t>•  Las actividades de desmantelamiento y abandono de instalaciones</w:t>
      </w:r>
    </w:p>
    <w:p w14:paraId="3EF3EEE5" w14:textId="77777777" w:rsidR="00A81B48" w:rsidRDefault="00A81B48" w:rsidP="00A81B48">
      <w:pPr>
        <w:spacing w:line="326" w:lineRule="atLeast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A81B48">
        <w:rPr>
          <w:rFonts w:ascii="Arial" w:eastAsia="Times New Roman" w:hAnsi="Arial" w:cs="Arial"/>
          <w:color w:val="000000" w:themeColor="text1"/>
          <w:sz w:val="28"/>
          <w:szCs w:val="28"/>
        </w:rPr>
        <w:t>•  El control integral de los residuos y las emisiones contaminantes</w:t>
      </w:r>
    </w:p>
    <w:p w14:paraId="14ADFB6D" w14:textId="77777777" w:rsidR="0088140D" w:rsidRPr="0088140D" w:rsidRDefault="0088140D" w:rsidP="0088140D">
      <w:pPr>
        <w:rPr>
          <w:rFonts w:ascii="Arial" w:hAnsi="Arial" w:cs="Arial"/>
          <w:sz w:val="28"/>
          <w:szCs w:val="28"/>
          <w:lang w:val="es-ES"/>
        </w:rPr>
      </w:pPr>
    </w:p>
    <w:p w14:paraId="367382C0" w14:textId="086BCEE1" w:rsidR="00A81B48" w:rsidRPr="00A45747" w:rsidRDefault="0088140D" w:rsidP="0088140D">
      <w:pPr>
        <w:rPr>
          <w:rFonts w:ascii="Arial" w:hAnsi="Arial" w:cs="Arial"/>
          <w:b/>
          <w:sz w:val="28"/>
          <w:szCs w:val="28"/>
          <w:lang w:val="es-ES"/>
        </w:rPr>
      </w:pPr>
      <w:r w:rsidRPr="00A45747">
        <w:rPr>
          <w:rFonts w:ascii="Arial" w:hAnsi="Arial" w:cs="Arial"/>
          <w:b/>
          <w:sz w:val="28"/>
          <w:szCs w:val="28"/>
          <w:lang w:val="es-ES"/>
        </w:rPr>
        <w:t>Las actividades de explotación</w:t>
      </w:r>
      <w:r w:rsidR="00726D07" w:rsidRPr="00A45747">
        <w:rPr>
          <w:rFonts w:ascii="Arial" w:hAnsi="Arial" w:cs="Arial"/>
          <w:b/>
          <w:sz w:val="28"/>
          <w:szCs w:val="28"/>
          <w:lang w:val="es-ES"/>
        </w:rPr>
        <w:t xml:space="preserve"> de hidrocarburo</w:t>
      </w:r>
      <w:r w:rsidR="00FF360A" w:rsidRPr="00A45747">
        <w:rPr>
          <w:rFonts w:ascii="Arial" w:hAnsi="Arial" w:cs="Arial"/>
          <w:b/>
          <w:sz w:val="28"/>
          <w:szCs w:val="28"/>
          <w:lang w:val="es-ES"/>
        </w:rPr>
        <w:t>s</w:t>
      </w:r>
      <w:r w:rsidRPr="00A45747">
        <w:rPr>
          <w:rFonts w:ascii="Arial" w:hAnsi="Arial" w:cs="Arial"/>
          <w:b/>
          <w:sz w:val="28"/>
          <w:szCs w:val="28"/>
          <w:lang w:val="es-ES"/>
        </w:rPr>
        <w:t xml:space="preserve"> en Coahuila se están llevando a cabo en la actualidad por Pemex.</w:t>
      </w:r>
    </w:p>
    <w:p w14:paraId="3D48B9AD" w14:textId="77777777" w:rsidR="00125E1C" w:rsidRDefault="00125E1C" w:rsidP="00726D07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66A7EA1" w14:textId="77777777" w:rsidR="00726D07" w:rsidRPr="00FF360A" w:rsidRDefault="00726D07" w:rsidP="00726D07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FF360A">
        <w:rPr>
          <w:rFonts w:ascii="Arial" w:hAnsi="Arial" w:cs="Arial"/>
          <w:b/>
          <w:sz w:val="28"/>
          <w:szCs w:val="28"/>
        </w:rPr>
        <w:t xml:space="preserve">Cabe señalar que el Clúster Minero Petrolero de Coahuila A.C. no es autoridad y por lo tanto no otorga concesión o permiso para llevar a cabo alguna actividad vinculada al sector. </w:t>
      </w:r>
    </w:p>
    <w:p w14:paraId="3F52A7AC" w14:textId="77777777" w:rsidR="00726D07" w:rsidRPr="00FF360A" w:rsidRDefault="00726D07" w:rsidP="00726D07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1321C273" w14:textId="437AB911" w:rsidR="00125E1C" w:rsidRPr="00125E1C" w:rsidRDefault="00726D07" w:rsidP="00A81B48">
      <w:pPr>
        <w:spacing w:line="276" w:lineRule="auto"/>
        <w:rPr>
          <w:rFonts w:ascii="Arial" w:hAnsi="Arial" w:cs="Arial"/>
          <w:sz w:val="28"/>
          <w:szCs w:val="28"/>
        </w:rPr>
      </w:pPr>
      <w:r w:rsidRPr="00FF360A">
        <w:rPr>
          <w:rFonts w:ascii="Arial" w:hAnsi="Arial" w:cs="Arial"/>
          <w:b/>
          <w:sz w:val="28"/>
          <w:szCs w:val="28"/>
        </w:rPr>
        <w:t xml:space="preserve">El Clúster es una Asociación Civil que tiene como misión articular esfuerzos de academia, empresas y autoridades para promover el desarrollo regional sostenible que beneficie a jóvenes, empresas, propietarios de tierras, comunidades y sociedad a partir de la </w:t>
      </w:r>
      <w:r w:rsidR="00AB0894">
        <w:rPr>
          <w:rFonts w:ascii="Arial" w:hAnsi="Arial" w:cs="Arial"/>
          <w:b/>
          <w:sz w:val="28"/>
          <w:szCs w:val="28"/>
        </w:rPr>
        <w:t xml:space="preserve">extracción </w:t>
      </w:r>
      <w:r w:rsidRPr="00FF360A">
        <w:rPr>
          <w:rFonts w:ascii="Arial" w:hAnsi="Arial" w:cs="Arial"/>
          <w:b/>
          <w:sz w:val="28"/>
          <w:szCs w:val="28"/>
        </w:rPr>
        <w:t xml:space="preserve"> de las reservas de hidrocarburos que existen en la región</w:t>
      </w:r>
      <w:r w:rsidRPr="00726D07">
        <w:rPr>
          <w:rFonts w:ascii="Arial" w:hAnsi="Arial" w:cs="Arial"/>
          <w:sz w:val="28"/>
          <w:szCs w:val="28"/>
        </w:rPr>
        <w:t>.</w:t>
      </w:r>
      <w:r w:rsidR="00A81B48">
        <w:rPr>
          <w:rFonts w:ascii="Arial" w:hAnsi="Arial" w:cs="Arial"/>
          <w:sz w:val="28"/>
          <w:szCs w:val="28"/>
        </w:rPr>
        <w:t xml:space="preserve"> </w:t>
      </w:r>
      <w:r w:rsidR="00125E1C" w:rsidRPr="00125E1C">
        <w:rPr>
          <w:rFonts w:ascii="Arial" w:hAnsi="Arial" w:cs="Arial"/>
          <w:sz w:val="28"/>
          <w:szCs w:val="28"/>
        </w:rPr>
        <w:t>Lo invitamos amablemente a visitar n</w:t>
      </w:r>
      <w:r w:rsidR="00125E1C" w:rsidRPr="00125E1C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u</w:t>
      </w:r>
      <w:r w:rsidR="00125E1C" w:rsidRPr="00125E1C">
        <w:rPr>
          <w:rFonts w:ascii="Arial" w:hAnsi="Arial" w:cs="Arial"/>
          <w:sz w:val="28"/>
          <w:szCs w:val="28"/>
        </w:rPr>
        <w:t>estra página web y nuestro video del primer informe de resultados.</w:t>
      </w:r>
    </w:p>
    <w:p w14:paraId="0FFDAB1E" w14:textId="77777777" w:rsidR="00125E1C" w:rsidRPr="00125E1C" w:rsidRDefault="00125E1C" w:rsidP="00125E1C">
      <w:pPr>
        <w:rPr>
          <w:rFonts w:ascii="Arial" w:hAnsi="Arial" w:cs="Arial"/>
          <w:sz w:val="28"/>
          <w:szCs w:val="28"/>
        </w:rPr>
      </w:pPr>
    </w:p>
    <w:p w14:paraId="6986B228" w14:textId="61E853CF" w:rsidR="00125E1C" w:rsidRPr="00125E1C" w:rsidRDefault="00125E1C" w:rsidP="00125E1C">
      <w:pPr>
        <w:rPr>
          <w:rFonts w:ascii="Arial" w:eastAsia="Times New Roman" w:hAnsi="Arial" w:cs="Arial"/>
          <w:sz w:val="28"/>
          <w:szCs w:val="28"/>
        </w:rPr>
      </w:pPr>
      <w:hyperlink r:id="rId7" w:history="1">
        <w:r w:rsidRPr="00125E1C">
          <w:rPr>
            <w:rStyle w:val="Hipervnculo"/>
            <w:rFonts w:ascii="Arial" w:eastAsia="Times New Roman" w:hAnsi="Arial" w:cs="Arial"/>
            <w:sz w:val="28"/>
            <w:szCs w:val="28"/>
          </w:rPr>
          <w:t>http://www.clustercoahuila.org.mx/</w:t>
        </w:r>
      </w:hyperlink>
    </w:p>
    <w:p w14:paraId="06D27B10" w14:textId="77777777" w:rsidR="00125E1C" w:rsidRPr="00125E1C" w:rsidRDefault="00125E1C" w:rsidP="00125E1C">
      <w:pPr>
        <w:rPr>
          <w:rFonts w:ascii="Arial" w:eastAsia="Times New Roman" w:hAnsi="Arial" w:cs="Arial"/>
          <w:sz w:val="28"/>
          <w:szCs w:val="28"/>
        </w:rPr>
      </w:pPr>
    </w:p>
    <w:p w14:paraId="28E4079D" w14:textId="043A58CF" w:rsidR="00125E1C" w:rsidRPr="00125E1C" w:rsidRDefault="00125E1C" w:rsidP="00125E1C">
      <w:pPr>
        <w:rPr>
          <w:rFonts w:ascii="Arial" w:eastAsia="Times New Roman" w:hAnsi="Arial" w:cs="Arial"/>
          <w:sz w:val="28"/>
          <w:szCs w:val="28"/>
        </w:rPr>
      </w:pPr>
      <w:hyperlink r:id="rId8" w:history="1">
        <w:r w:rsidRPr="00125E1C">
          <w:rPr>
            <w:rStyle w:val="Hipervnculo"/>
            <w:rFonts w:ascii="Arial" w:eastAsia="Times New Roman" w:hAnsi="Arial" w:cs="Arial"/>
            <w:sz w:val="28"/>
            <w:szCs w:val="28"/>
          </w:rPr>
          <w:t>https://www.youtube.com/watch?v=uT3DhuLW5Mg</w:t>
        </w:r>
      </w:hyperlink>
    </w:p>
    <w:p w14:paraId="025CED9D" w14:textId="77777777" w:rsidR="00125E1C" w:rsidRDefault="00125E1C" w:rsidP="00125E1C">
      <w:pPr>
        <w:rPr>
          <w:rFonts w:ascii="Times" w:eastAsia="Times New Roman" w:hAnsi="Times" w:cs="Times New Roman"/>
          <w:sz w:val="20"/>
          <w:szCs w:val="20"/>
        </w:rPr>
      </w:pPr>
    </w:p>
    <w:p w14:paraId="2E6BB55B" w14:textId="77777777" w:rsidR="00FF360A" w:rsidRDefault="00FF360A" w:rsidP="007C3B01"/>
    <w:p w14:paraId="42409125" w14:textId="465A9B39" w:rsidR="00FF360A" w:rsidRPr="00A45747" w:rsidRDefault="00FF360A" w:rsidP="00A45747">
      <w:pPr>
        <w:rPr>
          <w:rFonts w:eastAsia="Times New Roman" w:cs="Times New Roman"/>
          <w:sz w:val="28"/>
          <w:szCs w:val="28"/>
        </w:rPr>
      </w:pPr>
      <w:r w:rsidRPr="00A45747">
        <w:rPr>
          <w:sz w:val="28"/>
          <w:szCs w:val="28"/>
        </w:rPr>
        <w:t>La siguiente imagen</w:t>
      </w:r>
      <w:r w:rsidR="00A45747" w:rsidRPr="00A45747">
        <w:rPr>
          <w:sz w:val="28"/>
          <w:szCs w:val="28"/>
        </w:rPr>
        <w:t xml:space="preserve"> con información grafica y text</w:t>
      </w:r>
      <w:r w:rsidR="00A45747" w:rsidRPr="00A45747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ual</w:t>
      </w:r>
      <w:r w:rsidR="00A45747" w:rsidRPr="00A45747">
        <w:rPr>
          <w:rFonts w:eastAsia="Times New Roman" w:cs="Times New Roman"/>
          <w:sz w:val="28"/>
          <w:szCs w:val="28"/>
        </w:rPr>
        <w:t xml:space="preserve"> </w:t>
      </w:r>
      <w:r w:rsidRPr="00A45747">
        <w:rPr>
          <w:sz w:val="28"/>
          <w:szCs w:val="28"/>
        </w:rPr>
        <w:t>presenta el seguimiento a la exploración y extracción de aceite y gas que  lleva la Comisión Nacional de Hidrocarburos y se enc</w:t>
      </w:r>
      <w:r w:rsidRPr="00A45747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>uentra</w:t>
      </w:r>
      <w:r w:rsidRPr="00A45747">
        <w:rPr>
          <w:rFonts w:eastAsia="Times New Roman" w:cs="Times New Roman"/>
          <w:sz w:val="28"/>
          <w:szCs w:val="28"/>
        </w:rPr>
        <w:t xml:space="preserve"> </w:t>
      </w:r>
      <w:r w:rsidR="00A45747" w:rsidRPr="00A45747">
        <w:rPr>
          <w:sz w:val="28"/>
          <w:szCs w:val="28"/>
        </w:rPr>
        <w:t>disponible en la página web.</w:t>
      </w:r>
    </w:p>
    <w:p w14:paraId="3426C1CC" w14:textId="78D68171" w:rsidR="00BA3AC6" w:rsidRDefault="00023FE1" w:rsidP="00023FE1">
      <w:pPr>
        <w:ind w:left="-1560"/>
      </w:pPr>
      <w:r>
        <w:rPr>
          <w:noProof/>
          <w:lang w:val="es-ES"/>
        </w:rPr>
        <w:drawing>
          <wp:inline distT="0" distB="0" distL="0" distR="0" wp14:anchorId="5830BACB" wp14:editId="0C7FA3A3">
            <wp:extent cx="8046720" cy="7678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Shale Gas-septiembre1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149" cy="76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AC6" w:rsidSect="00023FE1">
      <w:pgSz w:w="12240" w:h="15840"/>
      <w:pgMar w:top="142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07CCE"/>
    <w:multiLevelType w:val="multilevel"/>
    <w:tmpl w:val="826C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B01"/>
    <w:rsid w:val="00023FE1"/>
    <w:rsid w:val="00125E1C"/>
    <w:rsid w:val="00151276"/>
    <w:rsid w:val="00266E13"/>
    <w:rsid w:val="002F6406"/>
    <w:rsid w:val="003770EA"/>
    <w:rsid w:val="004279EE"/>
    <w:rsid w:val="0044773E"/>
    <w:rsid w:val="00544CBE"/>
    <w:rsid w:val="00707B76"/>
    <w:rsid w:val="007135E0"/>
    <w:rsid w:val="00726D07"/>
    <w:rsid w:val="007A5AED"/>
    <w:rsid w:val="007C3B01"/>
    <w:rsid w:val="007F2D23"/>
    <w:rsid w:val="00813E01"/>
    <w:rsid w:val="00854049"/>
    <w:rsid w:val="0088140D"/>
    <w:rsid w:val="00925E56"/>
    <w:rsid w:val="009C3182"/>
    <w:rsid w:val="00A45747"/>
    <w:rsid w:val="00A81B48"/>
    <w:rsid w:val="00AB0894"/>
    <w:rsid w:val="00B4797C"/>
    <w:rsid w:val="00B944D0"/>
    <w:rsid w:val="00BA3AC6"/>
    <w:rsid w:val="00BB6CE7"/>
    <w:rsid w:val="00BF5019"/>
    <w:rsid w:val="00D049BA"/>
    <w:rsid w:val="00DA430E"/>
    <w:rsid w:val="00EA51A0"/>
    <w:rsid w:val="00F25ED3"/>
    <w:rsid w:val="00FC370A"/>
    <w:rsid w:val="00FF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5ED0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97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97C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25E1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81B4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97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97C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25E1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81B4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clustercoahuila.org.mx/" TargetMode="External"/><Relationship Id="rId8" Type="http://schemas.openxmlformats.org/officeDocument/2006/relationships/hyperlink" Target="https://www.youtube.com/watch?v=uT3DhuLW5Mg" TargetMode="External"/><Relationship Id="rId9" Type="http://schemas.openxmlformats.org/officeDocument/2006/relationships/image" Target="media/image2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1044</Words>
  <Characters>5748</Characters>
  <Application>Microsoft Macintosh Word</Application>
  <DocSecurity>0</DocSecurity>
  <Lines>47</Lines>
  <Paragraphs>13</Paragraphs>
  <ScaleCrop>false</ScaleCrop>
  <Company/>
  <LinksUpToDate>false</LinksUpToDate>
  <CharactersWithSpaces>6779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Delgado</dc:creator>
  <cp:keywords/>
  <dc:description/>
  <cp:lastModifiedBy>Miguel Delgado</cp:lastModifiedBy>
  <cp:revision>2</cp:revision>
  <cp:lastPrinted>2015-12-01T15:44:00Z</cp:lastPrinted>
  <dcterms:created xsi:type="dcterms:W3CDTF">2015-12-03T18:20:00Z</dcterms:created>
  <dcterms:modified xsi:type="dcterms:W3CDTF">2015-12-03T18:20:00Z</dcterms:modified>
</cp:coreProperties>
</file>